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B579A"/>
          <w:sz w:val="36"/>
          <w:szCs w:val="36"/>
        </w:rPr>
        <w:t xml:space="preserve">RATOMIR VUKADIN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Senior Software Engineer &amp; Solution Architect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East Sarajevo, BiH  •  ratomir@live.com  •  +387-65/211-581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ratomirvukadin.dev  •  </w:t>
      </w:r>
      <w:r>
        <w:rPr>
          <w:rFonts w:ascii="Calibri" w:cs="Calibri" w:eastAsia="Calibri" w:hAnsi="Calibri"/>
          <w:color w:val="666666"/>
          <w:sz w:val="19"/>
          <w:szCs w:val="19"/>
        </w:rPr>
        <w:t xml:space="preserve">credly.com/users/ratomir-vukadin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sz w:val="20"/>
          <w:szCs w:val="20"/>
        </w:rPr>
        <w:t xml:space="preserve">Software engineer and architect with 10+ years of experience designing and delivering production systems across cloud platforms (Azure, AWS, DigitalOcean). Strong track record in backend development (C#/.NET), distributed systems, Kubernetes orchestration, and Infrastructure as Code. Proven technical leader managing teams up to 10 engineers with hands-on system architecture ownership. Additional experience with React/TypeScript frontends, Python ML pipelines, and event-driven architectures.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C#, TypeScript, Python, SQL, JavaScript</w:t>
      </w:r>
    </w:p>
    <w:p>
      <w:pPr>
        <w:spacing w:before="4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Backend: </w:t>
      </w:r>
      <w:r>
        <w:rPr>
          <w:rFonts w:ascii="Calibri" w:cs="Calibri" w:eastAsia="Calibri" w:hAnsi="Calibri"/>
          <w:sz w:val="20"/>
          <w:szCs w:val="20"/>
        </w:rPr>
        <w:t xml:space="preserve">.NET 6–10 / ASP.NET Core, Azure Functions, AWS Lambda, RabbitMQ, Azure Service Bus</w:t>
      </w:r>
    </w:p>
    <w:p>
      <w:pPr>
        <w:spacing w:before="4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Frontend: </w:t>
      </w:r>
      <w:r>
        <w:rPr>
          <w:rFonts w:ascii="Calibri" w:cs="Calibri" w:eastAsia="Calibri" w:hAnsi="Calibri"/>
          <w:sz w:val="20"/>
          <w:szCs w:val="20"/>
        </w:rPr>
        <w:t xml:space="preserve">React, Next.js, TypeScript</w:t>
      </w:r>
    </w:p>
    <w:p>
      <w:pPr>
        <w:spacing w:before="4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Data: </w:t>
      </w:r>
      <w:r>
        <w:rPr>
          <w:rFonts w:ascii="Calibri" w:cs="Calibri" w:eastAsia="Calibri" w:hAnsi="Calibri"/>
          <w:sz w:val="20"/>
          <w:szCs w:val="20"/>
        </w:rPr>
        <w:t xml:space="preserve">PostgreSQL, MS-SQL, MongoDB, Cosmos DB, Redis, Azure Data Factory, Databricks</w:t>
      </w:r>
    </w:p>
    <w:p>
      <w:pPr>
        <w:spacing w:before="4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Cloud &amp; DevOps: </w:t>
      </w:r>
      <w:r>
        <w:rPr>
          <w:rFonts w:ascii="Calibri" w:cs="Calibri" w:eastAsia="Calibri" w:hAnsi="Calibri"/>
          <w:sz w:val="20"/>
          <w:szCs w:val="20"/>
        </w:rPr>
        <w:t xml:space="preserve">Azure (AKS, Container Apps, Functions), AWS (ECS/EKS, Lambda, Step Functions), Kubernetes, Terraform, GitHub Actions, Azure DevOps CI/CD</w:t>
      </w:r>
    </w:p>
    <w:p>
      <w:pPr>
        <w:spacing w:before="4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Architecture: </w:t>
      </w:r>
      <w:r>
        <w:rPr>
          <w:rFonts w:ascii="Calibri" w:cs="Calibri" w:eastAsia="Calibri" w:hAnsi="Calibri"/>
          <w:sz w:val="20"/>
          <w:szCs w:val="20"/>
        </w:rPr>
        <w:t xml:space="preserve">Microservices, Modular Monolith, Serverless, Event-Driven (Inbox/Outbox), CQRS</w:t>
      </w:r>
    </w:p>
    <w:p>
      <w:pPr>
        <w:spacing w:before="40" w:after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Leadership: </w:t>
      </w:r>
      <w:r>
        <w:rPr>
          <w:rFonts w:ascii="Calibri" w:cs="Calibri" w:eastAsia="Calibri" w:hAnsi="Calibri"/>
          <w:sz w:val="20"/>
          <w:szCs w:val="20"/>
        </w:rPr>
        <w:t xml:space="preserve">Technical Lead (teams up to 10), Architecture Reviews, Sprint Management, PDP Mentoring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PROFESSIONAL EXPERIENCE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IEHSOFTLABS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Solution Architect &amp; Team Lead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Mar 2025 – Present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Designed offline-capable lab management platform with two-level sync (device-level RxDB + lab-level RabbitMQ federation to cloud)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Architected modular monolith with separated Identity service; all modules communicate via RabbitMQ using Inbox/Outbox pattern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Led migration from on-premises to AWS + DigitalOcean managed services with Kubernetes multi-namespace clusters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Evaluated and rolled out Cursor AI across the engineering department as a member of the leadership team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Manage team development through 1-on-1s and Personal Development Plans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C#/.NET, RxDB, RabbitMQ, Kubernetes, AWS, DigitalOcean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Devtech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Jun 2022 – Feb 2024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Built payment processing systems (B2B, loans, credits) compliant with EU financial regulations using Stripe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Managed deployments via Azure DevOps and infrastructure changes with Bicep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C#, .NET Core, Azure DevOps, Bicep, Stripe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Mistral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Technical Lead / DevOps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Jun 2019 – May 2022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Led teams of up to 10 engineers; owned architecture decisions, sprint management, and delivery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Introduced KEDA to AWS EKS cluster for video frame processing, reducing pipeline time from 7+ hours to ~2 hours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Built Big Data consolidation platform (Dynamics, Salesforce) on Azure Data Factory feeding Power BI via Analysis Services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Implemented serverless data pipelines using AWS Lambda + Step Functions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Maintained IaC (Terraform, ARM, CDK) for microservices on AWS ECS/EKS and Azure AKS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Member of Discovery Team: created C4 diagrams, architecture blueprints, and delivery phase plans for new engagements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C#, Python, Terraform, AWS (EKS/ECS/Lambda), Azure (AKS/Data Factory), KEDA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Klika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DevOps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May 2018 – May 2019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Managed ~2 TB Big Data platform on Azure; migrated ELT pipelines from Data Factory v1 to v2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Migrated data processing from HDInsight (SQL) to Databricks (Python), improving performance and maintainability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Established private VNets and secure entry points; owned end-to-end deployment process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Azure (Data Factory, EventHub, HDInsight, Databricks, Cosmos DB), C#, Python, NodeJS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Lanaco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Oct 2016 – Apr 2018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Developed taxpayer registration modules for Bosnia’s Indirect Taxation Authority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Led development of MS Visio workflow parser (XML) that generated dynamic web-based process steps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Mentored 18 interns across 4 teams during Summer Internship 2017, establishing architecture and running Scrum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ASP.NET 4.6, C#, MS-SQL Server, IIS, TFS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Authority Partners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Sep 2015 – Feb 2016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Full-stack development on large-scale enterprise systems; supported intensive off-hours deployments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ASP.NET 4.6, C#, MS-SQL, Redis, AngularJS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CONTRACT ENGAGEMENTS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Solar-Prediction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Solution Architect &amp; Lead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Contract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Designed and built solar energy production forecasting system with day-ahead and intra-day predictions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Developed custom ML prediction engine (CatBoost) replacing algorithmic approach; integrated weather APIs and energy exchange data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Built multi-database architecture: MongoDB (weather models), Redis (caching), PostgreSQL (static data)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Set up full IaC (Terraform), CI/CD (GitHub Actions), and Azure Functions + Container Apps infrastructure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Built trader-facing React/Next.js portal with multi-parameter Plotly.js charts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C#, Python, React/Next.js, TypeScript, Azure Functions, Container Apps, PostgreSQL, MongoDB, Redis, Terraform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Quantum Solutions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DevOps Lead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Contract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Migrated Norwegian startup from App Services to AKS, then to Azure Container Apps — significantly reducing costs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Implemented CI/CD across 5 environments (DEV/QA/STG/PROD/Post-Prod) with full observability stack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Managed IaC (Terraform) and cost analysis across multiple Azure subscriptions for 10–12 microservices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Azure (AKS, Container Apps, Service Bus, Cosmos DB), Terraform, Azure DevOps</w:t>
      </w:r>
    </w:p>
    <w:p>
      <w:pPr>
        <w:spacing w:before="160"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2am Tech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888888"/>
          <w:sz w:val="21"/>
          <w:szCs w:val="21"/>
        </w:rPr>
        <w:t xml:space="preserve">  |  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Contract</w:t>
      </w:r>
    </w:p>
    <w:p>
      <w:pPr>
        <w:spacing w:before="40" w:after="4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•  Built CSV parsing algorithms consolidating multi-format health insurance data into unified models on AWS Lambda</w:t>
      </w:r>
    </w:p>
    <w:p>
      <w:pPr>
        <w:spacing w:before="40" w:after="80"/>
        <w:ind w:left="360"/>
      </w:pPr>
      <w:r>
        <w:rPr>
          <w:rFonts w:ascii="Calibri" w:cs="Calibri" w:eastAsia="Calibri" w:hAnsi="Calibri"/>
          <w:b/>
          <w:bCs/>
          <w:color w:val="555555"/>
          <w:sz w:val="19"/>
          <w:szCs w:val="19"/>
        </w:rPr>
        <w:t xml:space="preserve">Tech: 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C#, .NET 6, AWS Lambda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EDUCATION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B.Sc. Computer Science</w:t>
      </w:r>
      <w:r>
        <w:rPr>
          <w:rFonts w:ascii="Calibri" w:cs="Calibri" w:eastAsia="Calibri" w:hAnsi="Calibri"/>
          <w:sz w:val="20"/>
          <w:szCs w:val="20"/>
        </w:rPr>
        <w:t xml:space="preserve">  —  University of East Sarajevo, Faculty of Electrical Engineering  |  2011–2016  |  GPA: 8.28/10</w:t>
      </w:r>
    </w:p>
    <w:p>
      <w:pPr>
        <w:pBdr>
          <w:bottom w:val="single" w:color="2B579A" w:sz="6" w:space="1"/>
        </w:pBdr>
        <w:spacing w:before="60" w:after="120"/>
      </w:pPr>
    </w:p>
    <w:p>
      <w:pPr>
        <w:spacing w:before="240" w:after="0"/>
      </w:pPr>
      <w:r>
        <w:rPr>
          <w:rFonts w:ascii="Calibri" w:cs="Calibri" w:eastAsia="Calibri" w:hAnsi="Calibri"/>
          <w:b/>
          <w:bCs/>
          <w:color w:val="2B579A"/>
          <w:sz w:val="22"/>
          <w:szCs w:val="22"/>
        </w:rPr>
        <w:t xml:space="preserve">LANGUAGES</w:t>
      </w:r>
    </w:p>
    <w:p>
      <w:pPr>
        <w:spacing w:before="80" w:after="40"/>
      </w:pPr>
      <w:r>
        <w:rPr>
          <w:rFonts w:ascii="Calibri" w:cs="Calibri" w:eastAsia="Calibri" w:hAnsi="Calibri"/>
          <w:sz w:val="20"/>
          <w:szCs w:val="20"/>
        </w:rPr>
        <w:t xml:space="preserve">Serbian/Bosnian (Native)  •  English (Professional Working Proficiency)</w:t>
      </w:r>
    </w:p>
    <w:sectPr>
      <w:pgSz w:w="12240" w:h="15840" w:orient="portrait"/>
      <w:pgMar w:top="720" w:right="960" w:bottom="72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2026-03-30T06:33:51.810Z</dcterms:created>
  <dcterms:modified xsi:type="dcterms:W3CDTF">2026-03-30T06:33:51.811Z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